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0889" w14:textId="77777777" w:rsidR="003416BA" w:rsidRPr="005A6792" w:rsidRDefault="003416BA" w:rsidP="003416BA">
      <w:pPr>
        <w:tabs>
          <w:tab w:val="num" w:pos="426"/>
        </w:tabs>
        <w:spacing w:after="0" w:line="240" w:lineRule="auto"/>
        <w:ind w:firstLine="284"/>
        <w:jc w:val="center"/>
        <w:rPr>
          <w:rFonts w:ascii="Times New Roman" w:hAnsi="Times New Roman"/>
          <w:b/>
          <w:bCs/>
        </w:rPr>
      </w:pPr>
      <w:r w:rsidRPr="005A6792">
        <w:rPr>
          <w:rFonts w:ascii="Times New Roman" w:hAnsi="Times New Roman"/>
          <w:b/>
          <w:bCs/>
        </w:rPr>
        <w:t>Новые разъяснения, как теперь считать аванс и вторую часть зарплаты</w:t>
      </w:r>
    </w:p>
    <w:p w14:paraId="15C24D0F" w14:textId="77777777" w:rsidR="003416BA" w:rsidRPr="005A6792" w:rsidRDefault="003416BA" w:rsidP="003416BA">
      <w:pPr>
        <w:tabs>
          <w:tab w:val="num" w:pos="426"/>
        </w:tabs>
        <w:spacing w:after="0" w:line="240" w:lineRule="auto"/>
        <w:ind w:firstLine="284"/>
        <w:jc w:val="both"/>
        <w:rPr>
          <w:rFonts w:ascii="Times New Roman" w:hAnsi="Times New Roman"/>
          <w:b/>
          <w:bCs/>
        </w:rPr>
      </w:pPr>
    </w:p>
    <w:p w14:paraId="5A12F165" w14:textId="77777777" w:rsidR="003416BA" w:rsidRPr="005A6792" w:rsidRDefault="003416BA" w:rsidP="003416BA">
      <w:pPr>
        <w:tabs>
          <w:tab w:val="num" w:pos="426"/>
        </w:tabs>
        <w:spacing w:after="0" w:line="240" w:lineRule="auto"/>
        <w:ind w:firstLine="284"/>
        <w:jc w:val="both"/>
        <w:rPr>
          <w:rFonts w:ascii="Times New Roman" w:hAnsi="Times New Roman"/>
          <w:i/>
          <w:iCs/>
        </w:rPr>
      </w:pPr>
      <w:r w:rsidRPr="005A6792">
        <w:rPr>
          <w:rFonts w:ascii="Times New Roman" w:hAnsi="Times New Roman"/>
          <w:i/>
          <w:iCs/>
        </w:rPr>
        <w:t>В статье — разъяснения, в какой сумме сейчас выдавать сотрудникам аванс, чтобы не получить штраф. Уже третий год вы удерживаете НДФЛ с каждой выплаты работникам. Из-за этого в компаниях прижилось мнение, что фиксированный аванс больше выдавать нельзя. На самом деле это не совсем так: применять этот способ можно, но есть обязательные условия.</w:t>
      </w:r>
    </w:p>
    <w:p w14:paraId="23C38B55" w14:textId="77777777" w:rsidR="003416BA" w:rsidRPr="005A6792" w:rsidRDefault="003416BA" w:rsidP="003416BA">
      <w:pPr>
        <w:tabs>
          <w:tab w:val="num" w:pos="426"/>
        </w:tabs>
        <w:spacing w:after="0" w:line="240" w:lineRule="auto"/>
        <w:ind w:firstLine="284"/>
        <w:jc w:val="both"/>
        <w:rPr>
          <w:rFonts w:ascii="Times New Roman" w:hAnsi="Times New Roman"/>
          <w:i/>
          <w:iCs/>
        </w:rPr>
      </w:pPr>
    </w:p>
    <w:p w14:paraId="1FC4F4FA"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ТК не устанавливает, что зарплату нужно выдавать именно за первую и вторую половины месяца</w:t>
      </w:r>
    </w:p>
    <w:p w14:paraId="61F6DE07" w14:textId="77777777" w:rsidR="003416BA" w:rsidRPr="005A6792" w:rsidRDefault="003416BA" w:rsidP="003416BA">
      <w:pPr>
        <w:tabs>
          <w:tab w:val="num" w:pos="426"/>
        </w:tabs>
        <w:spacing w:after="0" w:line="240" w:lineRule="auto"/>
        <w:ind w:firstLine="284"/>
        <w:jc w:val="both"/>
        <w:rPr>
          <w:rFonts w:ascii="Times New Roman" w:hAnsi="Times New Roman"/>
          <w:b/>
          <w:bCs/>
        </w:rPr>
      </w:pPr>
      <w:r w:rsidRPr="005A6792">
        <w:rPr>
          <w:rFonts w:ascii="Times New Roman" w:hAnsi="Times New Roman"/>
          <w:b/>
          <w:bCs/>
        </w:rPr>
        <w:t>Какие правила для аванса теперь действуют</w:t>
      </w:r>
    </w:p>
    <w:p w14:paraId="56B0B01F"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Проверьте, по какому принципу определяете составные части зарплаты. Конкретных правил расчета за первую половину месяца, то есть аванса, ТК не устанавливает. В частности, кодекс не обязывает работодателей выдавать зарплату за первую и вторую половины месяца. В </w:t>
      </w:r>
      <w:hyperlink r:id="rId4" w:anchor="ZA01P523BQ" w:tgtFrame="_blank" w:history="1">
        <w:r w:rsidRPr="005A6792">
          <w:rPr>
            <w:rStyle w:val="ac"/>
            <w:rFonts w:ascii="Times New Roman" w:hAnsi="Times New Roman"/>
          </w:rPr>
          <w:t>статье 136</w:t>
        </w:r>
      </w:hyperlink>
      <w:r w:rsidRPr="005A6792">
        <w:rPr>
          <w:rFonts w:ascii="Times New Roman" w:hAnsi="Times New Roman"/>
        </w:rPr>
        <w:t> ТК лишь сказано, что деньги необходимо перечислять не реже чем каждые полмесяца. Также обозначен срок итоговой выплаты — не позднее 15-го числа следующего месяца.</w:t>
      </w:r>
    </w:p>
    <w:p w14:paraId="53617F96"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С 2023 года поменялись правила расчета НДФЛ, но не зарплаты. </w:t>
      </w:r>
      <w:hyperlink r:id="rId5" w:tgtFrame="_blank" w:history="1">
        <w:r w:rsidRPr="005A6792">
          <w:rPr>
            <w:rStyle w:val="ac"/>
            <w:rFonts w:ascii="Times New Roman" w:hAnsi="Times New Roman"/>
          </w:rPr>
          <w:t>ТК</w:t>
        </w:r>
      </w:hyperlink>
      <w:r w:rsidRPr="005A6792">
        <w:rPr>
          <w:rFonts w:ascii="Times New Roman" w:hAnsi="Times New Roman"/>
        </w:rPr>
        <w:t> по-прежнему требует, чтобы зарплата учитывала отработанное время (ст. </w:t>
      </w:r>
      <w:hyperlink r:id="rId6" w:anchor="ZA01PNO395" w:tgtFrame="_blank" w:history="1">
        <w:r w:rsidRPr="005A6792">
          <w:rPr>
            <w:rStyle w:val="ac"/>
            <w:rFonts w:ascii="Times New Roman" w:hAnsi="Times New Roman"/>
          </w:rPr>
          <w:t>129</w:t>
        </w:r>
      </w:hyperlink>
      <w:r w:rsidRPr="005A6792">
        <w:rPr>
          <w:rFonts w:ascii="Times New Roman" w:hAnsi="Times New Roman"/>
        </w:rPr>
        <w:t>, </w:t>
      </w:r>
      <w:hyperlink r:id="rId7" w:anchor="ZA01P0C3AR" w:tgtFrame="_blank" w:history="1">
        <w:r w:rsidRPr="005A6792">
          <w:rPr>
            <w:rStyle w:val="ac"/>
            <w:rFonts w:ascii="Times New Roman" w:hAnsi="Times New Roman"/>
          </w:rPr>
          <w:t>132</w:t>
        </w:r>
      </w:hyperlink>
      <w:r w:rsidRPr="005A6792">
        <w:rPr>
          <w:rFonts w:ascii="Times New Roman" w:hAnsi="Times New Roman"/>
        </w:rPr>
        <w:t> ТК). Таким образом, размер аванса зависит от количества рабочих и отработанных дней в месяце. Фиксированная сумма данному правилу на первый взгляд не соответствует. Но это вовсе не значит, что такой аванс сам по себе противоречит </w:t>
      </w:r>
      <w:hyperlink r:id="rId8" w:tgtFrame="_blank" w:history="1">
        <w:r w:rsidRPr="005A6792">
          <w:rPr>
            <w:rStyle w:val="ac"/>
            <w:rFonts w:ascii="Times New Roman" w:hAnsi="Times New Roman"/>
          </w:rPr>
          <w:t>ТК</w:t>
        </w:r>
      </w:hyperlink>
      <w:r w:rsidRPr="005A6792">
        <w:rPr>
          <w:rFonts w:ascii="Times New Roman" w:hAnsi="Times New Roman"/>
        </w:rPr>
        <w:t> — важно, по каким правилам вы его считаете.</w:t>
      </w:r>
    </w:p>
    <w:p w14:paraId="5E686DAA" w14:textId="77777777" w:rsidR="003416BA" w:rsidRPr="005A6792" w:rsidRDefault="003416BA" w:rsidP="003416BA">
      <w:pPr>
        <w:tabs>
          <w:tab w:val="num" w:pos="426"/>
        </w:tabs>
        <w:spacing w:after="0" w:line="240" w:lineRule="auto"/>
        <w:ind w:firstLine="284"/>
        <w:jc w:val="both"/>
        <w:rPr>
          <w:rFonts w:ascii="Times New Roman" w:hAnsi="Times New Roman"/>
          <w:b/>
          <w:bCs/>
        </w:rPr>
      </w:pPr>
      <w:r w:rsidRPr="005A6792">
        <w:rPr>
          <w:rFonts w:ascii="Times New Roman" w:hAnsi="Times New Roman"/>
          <w:b/>
          <w:bCs/>
        </w:rPr>
        <w:t>Когда фиксированный аванс не нарушение</w:t>
      </w:r>
    </w:p>
    <w:p w14:paraId="6743FA3B"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50</w:t>
      </w:r>
    </w:p>
    <w:p w14:paraId="35E3A3B8" w14:textId="77777777" w:rsidR="003416BA" w:rsidRPr="005A6792" w:rsidRDefault="003416BA" w:rsidP="003416BA">
      <w:pPr>
        <w:tabs>
          <w:tab w:val="num" w:pos="426"/>
        </w:tabs>
        <w:spacing w:after="0" w:line="240" w:lineRule="auto"/>
        <w:ind w:firstLine="284"/>
        <w:jc w:val="both"/>
        <w:rPr>
          <w:rFonts w:ascii="Times New Roman" w:hAnsi="Times New Roman"/>
          <w:b/>
          <w:bCs/>
        </w:rPr>
      </w:pPr>
      <w:r w:rsidRPr="005A6792">
        <w:rPr>
          <w:rFonts w:ascii="Times New Roman" w:hAnsi="Times New Roman"/>
          <w:b/>
          <w:bCs/>
        </w:rPr>
        <w:t>процентов</w:t>
      </w:r>
    </w:p>
    <w:p w14:paraId="790C8E1A"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от оклада безопасно выдавать сотрудникам в качестве аванса</w:t>
      </w:r>
    </w:p>
    <w:p w14:paraId="71B4677D"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Компаниям, которые хотят установить фиксированную сумму аванса, следует ориентироваться на разъяснения Роструда. Так, ведомство требует, чтобы размер процента не был произвольным. Допустимо, если он составляет 0,45—0,5 зарплаты. Например, оклад 100 000 руб., а в трудовом договоре указано: аванс 47 000 руб. Аванс в счет зарплаты должен быть примерно равен выплатам за вторую половину месяца. Это не нарушение, напротив, работник будет получать за первую половину месяца одинаковую сумму.</w:t>
      </w:r>
    </w:p>
    <w:p w14:paraId="30F323EB"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Работодатель не вправе по своему усмотрению установить фиксированный размер аванса, например в размере 30 процентов от зарплаты (ответ на вопрос от 01.08.2025 № 226820 →</w:t>
      </w:r>
      <w:proofErr w:type="spellStart"/>
      <w:proofErr w:type="gramStart"/>
      <w:r w:rsidRPr="005A6792">
        <w:rPr>
          <w:rFonts w:ascii="Times New Roman" w:hAnsi="Times New Roman"/>
        </w:rPr>
        <w:t>онлайнинспекция.рф</w:t>
      </w:r>
      <w:proofErr w:type="spellEnd"/>
      <w:proofErr w:type="gramEnd"/>
      <w:r w:rsidRPr="005A6792">
        <w:rPr>
          <w:rFonts w:ascii="Times New Roman" w:hAnsi="Times New Roman"/>
        </w:rPr>
        <w:t>). Даже если сотрудник письменно попросит такой аванс (ответ на вопрос от 09.01.2025 № 213346 →</w:t>
      </w:r>
      <w:proofErr w:type="spellStart"/>
      <w:proofErr w:type="gramStart"/>
      <w:r w:rsidRPr="005A6792">
        <w:rPr>
          <w:rFonts w:ascii="Times New Roman" w:hAnsi="Times New Roman"/>
        </w:rPr>
        <w:t>онлайнинспекция.рф</w:t>
      </w:r>
      <w:proofErr w:type="spellEnd"/>
      <w:proofErr w:type="gramEnd"/>
      <w:r w:rsidRPr="005A6792">
        <w:rPr>
          <w:rFonts w:ascii="Times New Roman" w:hAnsi="Times New Roman"/>
        </w:rPr>
        <w:t>). Кроме того, нельзя всем работникам независимо от их окладов установить аванс в единой фиксированной сумме, например по 20 000 руб. (</w:t>
      </w:r>
      <w:hyperlink r:id="rId9" w:tgtFrame="_blank" w:history="1">
        <w:r w:rsidRPr="005A6792">
          <w:rPr>
            <w:rStyle w:val="ac"/>
            <w:rFonts w:ascii="Times New Roman" w:hAnsi="Times New Roman"/>
          </w:rPr>
          <w:t>письмо Минтруда от 10.08.2017 № 14-1/В-725</w:t>
        </w:r>
      </w:hyperlink>
      <w:r w:rsidRPr="005A6792">
        <w:rPr>
          <w:rFonts w:ascii="Times New Roman" w:hAnsi="Times New Roman"/>
        </w:rPr>
        <w:t>).</w:t>
      </w:r>
    </w:p>
    <w:p w14:paraId="7AB5AB6F" w14:textId="77777777" w:rsidR="003416BA" w:rsidRPr="005A6792" w:rsidRDefault="003416BA" w:rsidP="003416BA">
      <w:pPr>
        <w:tabs>
          <w:tab w:val="num" w:pos="426"/>
        </w:tabs>
        <w:spacing w:after="0" w:line="240" w:lineRule="auto"/>
        <w:ind w:firstLine="284"/>
        <w:jc w:val="both"/>
        <w:rPr>
          <w:rFonts w:ascii="Times New Roman" w:hAnsi="Times New Roman"/>
          <w:b/>
          <w:bCs/>
        </w:rPr>
      </w:pPr>
      <w:r w:rsidRPr="005A6792">
        <w:rPr>
          <w:rFonts w:ascii="Times New Roman" w:hAnsi="Times New Roman"/>
          <w:b/>
          <w:bCs/>
        </w:rPr>
        <w:t>Какой способ расчета аванса стоит использовать</w:t>
      </w:r>
    </w:p>
    <w:p w14:paraId="267EC2F4"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Компания вправе считать зарплату за первую половину месяца тем способом, который ей удобнее. Расчетный способ по умолчанию используют бухгалтерские программы, и сам по себе он точнее: сотрудник получает столько, сколько заработал. Нарушения в том, что сумма постоянно меняется, нет (ответ на вопрос от 20.05.2024 № 199606 →</w:t>
      </w:r>
      <w:proofErr w:type="spellStart"/>
      <w:proofErr w:type="gramStart"/>
      <w:r w:rsidRPr="005A6792">
        <w:rPr>
          <w:rFonts w:ascii="Times New Roman" w:hAnsi="Times New Roman"/>
        </w:rPr>
        <w:t>онлайнинспекция.рф</w:t>
      </w:r>
      <w:proofErr w:type="spellEnd"/>
      <w:proofErr w:type="gramEnd"/>
      <w:r w:rsidRPr="005A6792">
        <w:rPr>
          <w:rFonts w:ascii="Times New Roman" w:hAnsi="Times New Roman"/>
        </w:rPr>
        <w:t>).</w:t>
      </w:r>
    </w:p>
    <w:p w14:paraId="6809C768"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Разъясните сотрудникам: при расчетном способе колебания в выплатах неизбежны. В каком-то месяце рабочих дней больше, в каком-то меньше, кроме того, существенно снизить сумму аванса могут длинные праздники. Например, ноябрьский аванс выйдет меньше октябрьского, потому что 3 и 4 ноября работники будут отдыхать в честь Дня народного единства. Зато за вторую половину ноября сотрудники получат больше.</w:t>
      </w:r>
    </w:p>
    <w:p w14:paraId="5A33C688"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t>Если компания решит перейти на фиксированные авансы, имейте в виду, что придется перенастраивать под себя бухгалтерскую программу или корректировать суммы вручную. С одной стороны, это неудобно, с другой — в январе или мае сотрудники за первую половину месяца получат гораздо больше заработанного.</w:t>
      </w:r>
    </w:p>
    <w:p w14:paraId="0F5442E0" w14:textId="77777777" w:rsidR="003416BA" w:rsidRPr="005A6792" w:rsidRDefault="003416BA" w:rsidP="003416BA">
      <w:pPr>
        <w:tabs>
          <w:tab w:val="num" w:pos="426"/>
        </w:tabs>
        <w:spacing w:after="0" w:line="240" w:lineRule="auto"/>
        <w:ind w:firstLine="284"/>
        <w:jc w:val="both"/>
        <w:rPr>
          <w:rFonts w:ascii="Times New Roman" w:hAnsi="Times New Roman"/>
        </w:rPr>
      </w:pPr>
    </w:p>
    <w:p w14:paraId="2E963B55" w14:textId="77777777" w:rsidR="003416BA" w:rsidRPr="005A6792" w:rsidRDefault="003416BA" w:rsidP="003416BA">
      <w:pPr>
        <w:tabs>
          <w:tab w:val="num" w:pos="426"/>
        </w:tabs>
        <w:spacing w:after="0" w:line="240" w:lineRule="auto"/>
        <w:ind w:firstLine="284"/>
        <w:jc w:val="both"/>
        <w:rPr>
          <w:rFonts w:ascii="Times New Roman" w:hAnsi="Times New Roman"/>
        </w:rPr>
      </w:pPr>
      <w:r w:rsidRPr="005A6792">
        <w:rPr>
          <w:rFonts w:ascii="Times New Roman" w:hAnsi="Times New Roman"/>
        </w:rPr>
        <w:lastRenderedPageBreak/>
        <w:t>На заметку</w:t>
      </w:r>
    </w:p>
    <w:p w14:paraId="546EE8F2" w14:textId="77777777" w:rsidR="003416BA" w:rsidRPr="005A6792" w:rsidRDefault="003416BA" w:rsidP="003416BA">
      <w:pPr>
        <w:tabs>
          <w:tab w:val="num" w:pos="426"/>
        </w:tabs>
        <w:spacing w:after="0" w:line="240" w:lineRule="auto"/>
        <w:ind w:firstLine="284"/>
        <w:jc w:val="both"/>
        <w:rPr>
          <w:rFonts w:ascii="Times New Roman" w:hAnsi="Times New Roman"/>
          <w:b/>
          <w:bCs/>
        </w:rPr>
      </w:pPr>
      <w:r w:rsidRPr="005A6792">
        <w:rPr>
          <w:rFonts w:ascii="Times New Roman" w:hAnsi="Times New Roman"/>
          <w:b/>
          <w:bCs/>
        </w:rPr>
        <w:t>За какой период считать аванс</w:t>
      </w:r>
    </w:p>
    <w:p w14:paraId="3DEB672D" w14:textId="77777777" w:rsidR="003416BA" w:rsidRPr="005A6792" w:rsidRDefault="003416BA" w:rsidP="003416BA">
      <w:pPr>
        <w:tabs>
          <w:tab w:val="num" w:pos="426"/>
        </w:tabs>
        <w:spacing w:after="0" w:line="240" w:lineRule="auto"/>
        <w:ind w:firstLine="284"/>
        <w:jc w:val="both"/>
        <w:rPr>
          <w:rFonts w:ascii="Times New Roman" w:hAnsi="Times New Roman"/>
        </w:rPr>
      </w:pPr>
      <w:hyperlink r:id="rId10" w:tgtFrame="_blank" w:history="1">
        <w:r w:rsidRPr="005A6792">
          <w:rPr>
            <w:rStyle w:val="ac"/>
            <w:rFonts w:ascii="Times New Roman" w:hAnsi="Times New Roman"/>
          </w:rPr>
          <w:t>Трудовой кодекс</w:t>
        </w:r>
      </w:hyperlink>
      <w:r w:rsidRPr="005A6792">
        <w:rPr>
          <w:rFonts w:ascii="Times New Roman" w:hAnsi="Times New Roman"/>
        </w:rPr>
        <w:t> не устанавливает, за какой период выдавать сотрудникам первую часть зарплаты. По умолчанию это период с 1-го по 15-е число, то есть первая половина месяца. Не разбивайте месяц на неравные части. Считайте первую часть зарплаты за период с 1-го по 15-е число. А если и устанавливать особый период, то лишь для февраля, в котором меньше всего дней.</w:t>
      </w:r>
    </w:p>
    <w:p w14:paraId="0AE20C55" w14:textId="77777777" w:rsidR="003416BA" w:rsidRPr="005A6792" w:rsidRDefault="003416BA" w:rsidP="003416BA">
      <w:pPr>
        <w:tabs>
          <w:tab w:val="num" w:pos="426"/>
        </w:tabs>
        <w:spacing w:after="0" w:line="240" w:lineRule="auto"/>
        <w:ind w:firstLine="284"/>
        <w:jc w:val="both"/>
        <w:rPr>
          <w:rFonts w:ascii="Times New Roman" w:hAnsi="Times New Roman"/>
        </w:rPr>
      </w:pPr>
    </w:p>
    <w:p w14:paraId="1CFFCA56" w14:textId="77777777" w:rsidR="003416BA" w:rsidRPr="00064E17" w:rsidRDefault="003416BA" w:rsidP="003416BA">
      <w:pPr>
        <w:tabs>
          <w:tab w:val="num" w:pos="426"/>
        </w:tabs>
        <w:spacing w:after="0" w:line="240" w:lineRule="auto"/>
        <w:ind w:firstLine="284"/>
        <w:jc w:val="right"/>
        <w:rPr>
          <w:rFonts w:ascii="Times New Roman" w:hAnsi="Times New Roman"/>
        </w:rPr>
      </w:pPr>
      <w:r w:rsidRPr="005A6792">
        <w:rPr>
          <w:rFonts w:ascii="Times New Roman" w:hAnsi="Times New Roman"/>
        </w:rPr>
        <w:t>Журнал «Главбух» №21, 2025 г.</w:t>
      </w:r>
    </w:p>
    <w:p w14:paraId="1C01F43A" w14:textId="77777777" w:rsidR="003416BA" w:rsidRPr="005A6792" w:rsidRDefault="003416BA" w:rsidP="003416BA">
      <w:pPr>
        <w:tabs>
          <w:tab w:val="num" w:pos="426"/>
        </w:tabs>
        <w:spacing w:after="0" w:line="240" w:lineRule="auto"/>
        <w:ind w:firstLine="284"/>
        <w:jc w:val="both"/>
        <w:rPr>
          <w:rFonts w:ascii="Times New Roman" w:hAnsi="Times New Roman"/>
        </w:rPr>
      </w:pPr>
    </w:p>
    <w:p w14:paraId="12030447" w14:textId="77777777" w:rsidR="003416BA" w:rsidRPr="005A6792" w:rsidRDefault="003416BA" w:rsidP="003416BA">
      <w:pPr>
        <w:tabs>
          <w:tab w:val="num" w:pos="426"/>
        </w:tabs>
        <w:spacing w:after="0" w:line="240" w:lineRule="auto"/>
        <w:ind w:firstLine="284"/>
        <w:jc w:val="both"/>
        <w:rPr>
          <w:rFonts w:ascii="Times New Roman" w:hAnsi="Times New Roman"/>
        </w:rPr>
      </w:pPr>
    </w:p>
    <w:p w14:paraId="75BAA36D" w14:textId="7043B99A" w:rsidR="00B04A91" w:rsidRPr="003416BA" w:rsidRDefault="00B04A91" w:rsidP="003416BA"/>
    <w:sectPr w:rsidR="00B04A91" w:rsidRPr="003416BA" w:rsidSect="00CD0465">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91"/>
    <w:rsid w:val="00021000"/>
    <w:rsid w:val="000D5A1E"/>
    <w:rsid w:val="001B781B"/>
    <w:rsid w:val="00215E42"/>
    <w:rsid w:val="003416BA"/>
    <w:rsid w:val="00473343"/>
    <w:rsid w:val="005535F1"/>
    <w:rsid w:val="00597536"/>
    <w:rsid w:val="007031DF"/>
    <w:rsid w:val="007F6B9A"/>
    <w:rsid w:val="009A4717"/>
    <w:rsid w:val="009E2159"/>
    <w:rsid w:val="00B04A91"/>
    <w:rsid w:val="00B96F57"/>
    <w:rsid w:val="00CB1E97"/>
    <w:rsid w:val="00CD0465"/>
    <w:rsid w:val="00D34DC6"/>
    <w:rsid w:val="00D66071"/>
    <w:rsid w:val="00E1408B"/>
    <w:rsid w:val="00FB3591"/>
    <w:rsid w:val="00FB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F21D"/>
  <w15:chartTrackingRefBased/>
  <w15:docId w15:val="{6E10E3DB-9BD2-4BCC-A0C9-31BAA364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A91"/>
    <w:rPr>
      <w:rFonts w:ascii="Calibri" w:eastAsia="Calibri" w:hAnsi="Calibri" w:cs="Times New Roman"/>
      <w14:ligatures w14:val="none"/>
    </w:rPr>
  </w:style>
  <w:style w:type="paragraph" w:styleId="1">
    <w:name w:val="heading 1"/>
    <w:basedOn w:val="a"/>
    <w:next w:val="a"/>
    <w:link w:val="10"/>
    <w:uiPriority w:val="9"/>
    <w:qFormat/>
    <w:rsid w:val="00B04A91"/>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B04A91"/>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B04A91"/>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B04A91"/>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B04A91"/>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B04A9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B04A9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B04A9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B04A9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A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4A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4A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4A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4A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4A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A91"/>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A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A91"/>
    <w:rPr>
      <w:rFonts w:eastAsiaTheme="majorEastAsia" w:cstheme="majorBidi"/>
      <w:color w:val="272727" w:themeColor="text1" w:themeTint="D8"/>
    </w:rPr>
  </w:style>
  <w:style w:type="paragraph" w:styleId="a3">
    <w:name w:val="Title"/>
    <w:basedOn w:val="a"/>
    <w:next w:val="a"/>
    <w:link w:val="a4"/>
    <w:uiPriority w:val="10"/>
    <w:qFormat/>
    <w:rsid w:val="00B04A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04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A9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B04A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A9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B04A91"/>
    <w:rPr>
      <w:i/>
      <w:iCs/>
      <w:color w:val="404040" w:themeColor="text1" w:themeTint="BF"/>
    </w:rPr>
  </w:style>
  <w:style w:type="paragraph" w:styleId="a7">
    <w:name w:val="List Paragraph"/>
    <w:basedOn w:val="a"/>
    <w:uiPriority w:val="34"/>
    <w:qFormat/>
    <w:rsid w:val="00B04A91"/>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B04A91"/>
    <w:rPr>
      <w:i/>
      <w:iCs/>
      <w:color w:val="2F5496" w:themeColor="accent1" w:themeShade="BF"/>
    </w:rPr>
  </w:style>
  <w:style w:type="paragraph" w:styleId="a9">
    <w:name w:val="Intense Quote"/>
    <w:basedOn w:val="a"/>
    <w:next w:val="a"/>
    <w:link w:val="aa"/>
    <w:uiPriority w:val="30"/>
    <w:qFormat/>
    <w:rsid w:val="00B04A9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B04A91"/>
    <w:rPr>
      <w:i/>
      <w:iCs/>
      <w:color w:val="2F5496" w:themeColor="accent1" w:themeShade="BF"/>
    </w:rPr>
  </w:style>
  <w:style w:type="character" w:styleId="ab">
    <w:name w:val="Intense Reference"/>
    <w:basedOn w:val="a0"/>
    <w:uiPriority w:val="32"/>
    <w:qFormat/>
    <w:rsid w:val="00B04A91"/>
    <w:rPr>
      <w:b/>
      <w:bCs/>
      <w:smallCaps/>
      <w:color w:val="2F5496" w:themeColor="accent1" w:themeShade="BF"/>
      <w:spacing w:val="5"/>
    </w:rPr>
  </w:style>
  <w:style w:type="character" w:styleId="ac">
    <w:name w:val="Hyperlink"/>
    <w:uiPriority w:val="99"/>
    <w:unhideWhenUsed/>
    <w:rsid w:val="00B04A91"/>
    <w:rPr>
      <w:color w:val="0000FF"/>
      <w:u w:val="single"/>
    </w:rPr>
  </w:style>
  <w:style w:type="character" w:styleId="ad">
    <w:name w:val="FollowedHyperlink"/>
    <w:basedOn w:val="a0"/>
    <w:uiPriority w:val="99"/>
    <w:semiHidden/>
    <w:unhideWhenUsed/>
    <w:rsid w:val="00B96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9&amp;npid=901807664" TargetMode="External"/><Relationship Id="rId3" Type="http://schemas.openxmlformats.org/officeDocument/2006/relationships/webSettings" Target="webSettings.xml"/><Relationship Id="rId7" Type="http://schemas.openxmlformats.org/officeDocument/2006/relationships/hyperlink" Target="https://e.glavbukh.ru/npd-doc?npmid=99&amp;npid=901807664&amp;anchor=ZA01P0C3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9&amp;npid=901807664&amp;anchor=ZA01PNO395" TargetMode="External"/><Relationship Id="rId11" Type="http://schemas.openxmlformats.org/officeDocument/2006/relationships/fontTable" Target="fontTable.xml"/><Relationship Id="rId5" Type="http://schemas.openxmlformats.org/officeDocument/2006/relationships/hyperlink" Target="https://e.glavbukh.ru/npd-doc?npmid=99&amp;npid=901807664" TargetMode="External"/><Relationship Id="rId10" Type="http://schemas.openxmlformats.org/officeDocument/2006/relationships/hyperlink" Target="https://e.glavbukh.ru/npd-doc?npmid=99&amp;npid=901807664" TargetMode="External"/><Relationship Id="rId4" Type="http://schemas.openxmlformats.org/officeDocument/2006/relationships/hyperlink" Target="https://e.glavbukh.ru/npd-doc?npmid=99&amp;npid=901807664&amp;anchor=ZA01P523BQ" TargetMode="External"/><Relationship Id="rId9" Type="http://schemas.openxmlformats.org/officeDocument/2006/relationships/hyperlink" Target="https://e.glavbukh.ru/npd-doc?npmid=99&amp;npid=456088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2025-11-07T10:55:00Z</dcterms:created>
  <dcterms:modified xsi:type="dcterms:W3CDTF">2025-11-07T10:55:00Z</dcterms:modified>
</cp:coreProperties>
</file>